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C2" w:rsidRPr="00F66A56" w:rsidRDefault="00FD0AC2" w:rsidP="00FD0AC2">
      <w:pPr>
        <w:rPr>
          <w:color w:val="000000" w:themeColor="text1"/>
          <w:sz w:val="28"/>
          <w:szCs w:val="28"/>
        </w:rPr>
      </w:pPr>
    </w:p>
    <w:p w:rsidR="005C4B33" w:rsidRPr="00F66A56" w:rsidRDefault="00F73DBB" w:rsidP="005C4B33">
      <w:pPr>
        <w:jc w:val="center"/>
        <w:rPr>
          <w:color w:val="000000" w:themeColor="text1"/>
          <w:sz w:val="18"/>
          <w:szCs w:val="18"/>
        </w:rPr>
      </w:pPr>
      <w:r w:rsidRPr="00F66A56">
        <w:rPr>
          <w:color w:val="000000" w:themeColor="text1"/>
          <w:sz w:val="24"/>
          <w:szCs w:val="24"/>
        </w:rPr>
        <w:t xml:space="preserve">  </w:t>
      </w:r>
      <w:r w:rsidRPr="00F66A56">
        <w:rPr>
          <w:rFonts w:hint="eastAsia"/>
          <w:color w:val="000000" w:themeColor="text1"/>
          <w:sz w:val="24"/>
          <w:szCs w:val="24"/>
        </w:rPr>
        <w:t xml:space="preserve">                         </w:t>
      </w:r>
      <w:r w:rsidR="005C4B33" w:rsidRPr="00F66A56">
        <w:rPr>
          <w:rFonts w:hint="eastAsia"/>
          <w:color w:val="000000" w:themeColor="text1"/>
          <w:sz w:val="18"/>
          <w:szCs w:val="18"/>
        </w:rPr>
        <w:t>百思特</w:t>
      </w:r>
      <w:r w:rsidR="005C4B33" w:rsidRPr="00F66A56">
        <w:rPr>
          <w:rFonts w:asciiTheme="minorEastAsia" w:hAnsiTheme="minorEastAsia" w:hint="eastAsia"/>
          <w:color w:val="000000" w:themeColor="text1"/>
          <w:sz w:val="18"/>
          <w:szCs w:val="18"/>
        </w:rPr>
        <w:t>®</w:t>
      </w:r>
      <w:r w:rsidR="005C4B33" w:rsidRPr="00F66A56">
        <w:rPr>
          <w:color w:val="000000" w:themeColor="text1"/>
          <w:sz w:val="18"/>
          <w:szCs w:val="18"/>
        </w:rPr>
        <w:t xml:space="preserve"> </w:t>
      </w:r>
      <w:r w:rsidR="005C4B33" w:rsidRPr="00F66A56">
        <w:rPr>
          <w:rFonts w:hint="eastAsia"/>
          <w:color w:val="000000" w:themeColor="text1"/>
          <w:sz w:val="28"/>
          <w:szCs w:val="28"/>
        </w:rPr>
        <w:t>罗红霉素分散片说明书</w:t>
      </w:r>
    </w:p>
    <w:p w:rsidR="005C4B33" w:rsidRPr="00F66A56" w:rsidRDefault="005C4B33" w:rsidP="005C4B33">
      <w:pPr>
        <w:jc w:val="center"/>
        <w:rPr>
          <w:color w:val="000000" w:themeColor="text1"/>
          <w:sz w:val="18"/>
          <w:szCs w:val="18"/>
        </w:rPr>
      </w:pPr>
      <w:r w:rsidRPr="00F66A56">
        <w:rPr>
          <w:rFonts w:hint="eastAsia"/>
          <w:color w:val="000000" w:themeColor="text1"/>
          <w:sz w:val="18"/>
          <w:szCs w:val="18"/>
        </w:rPr>
        <w:t>请仔细阅读说书并在医师指导下使用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【药品名称】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通用名称:</w:t>
      </w:r>
      <w:hyperlink r:id="rId7" w:history="1">
        <w:r w:rsidRPr="00F66A56">
          <w:rPr>
            <w:rStyle w:val="a5"/>
            <w:color w:val="000000" w:themeColor="text1"/>
            <w:sz w:val="18"/>
            <w:szCs w:val="18"/>
            <w:u w:val="none"/>
          </w:rPr>
          <w:t xml:space="preserve"> </w:t>
        </w:r>
        <w:r w:rsidRPr="00F66A56">
          <w:rPr>
            <w:rStyle w:val="a5"/>
            <w:rFonts w:hint="eastAsia"/>
            <w:color w:val="000000" w:themeColor="text1"/>
            <w:sz w:val="18"/>
            <w:szCs w:val="18"/>
            <w:u w:val="none"/>
          </w:rPr>
          <w:t>罗红霉素分散片</w:t>
        </w:r>
      </w:hyperlink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hint="eastAsia"/>
          <w:color w:val="000000" w:themeColor="text1"/>
          <w:sz w:val="18"/>
          <w:szCs w:val="18"/>
        </w:rPr>
        <w:t>英文名称：</w:t>
      </w:r>
      <w:r w:rsidRPr="00F66A56">
        <w:rPr>
          <w:color w:val="000000" w:themeColor="text1"/>
          <w:sz w:val="18"/>
          <w:szCs w:val="18"/>
        </w:rPr>
        <w:t xml:space="preserve">Roxithromycin Dispersible Tablets 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hint="eastAsia"/>
          <w:color w:val="000000" w:themeColor="text1"/>
          <w:sz w:val="18"/>
          <w:szCs w:val="18"/>
        </w:rPr>
        <w:t>汉语拼音：</w:t>
      </w:r>
      <w:r w:rsidRPr="00F66A56">
        <w:rPr>
          <w:color w:val="000000" w:themeColor="text1"/>
          <w:sz w:val="18"/>
          <w:szCs w:val="18"/>
        </w:rPr>
        <w:t>Luohongmeisu Fensan Pian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【成份】本品主药成分为：罗红霉素。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化学名称：9-{-O-[(2-甲氧基乙氧基)-甲基]肟基}红霉素。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【性状】本品为白色或类白色片。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【适应症】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本品适用于化脓性链球菌引起的咽炎及扁桃体炎，敏感菌所致的鼻窦炎、中耳炎、急性支气管炎、慢性支气管炎急性发作，肺炎支原体或肺炎衣原体所致的肺炎；沙眼衣原体引起的尿道炎和宫颈炎；敏感细菌引起的皮肤软组织感染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【规格】150mg 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【用法用量】</w:t>
      </w:r>
    </w:p>
    <w:p w:rsidR="005C4B33" w:rsidRPr="00F66A56" w:rsidRDefault="005C4B33" w:rsidP="005C4B33">
      <w:pPr>
        <w:rPr>
          <w:rFonts w:ascii="宋体" w:hAnsi="宋体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空腹口服，一般疗程为5～12日。</w:t>
      </w:r>
    </w:p>
    <w:p w:rsidR="005C4B33" w:rsidRPr="00F66A56" w:rsidRDefault="005C4B33" w:rsidP="005C4B33">
      <w:pPr>
        <w:rPr>
          <w:rFonts w:ascii="宋体" w:hAnsi="宋体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成人 一次150mg，一日2次；也可一次300mg，一日1次。</w:t>
      </w:r>
    </w:p>
    <w:p w:rsidR="005C4B33" w:rsidRPr="00F66A56" w:rsidRDefault="005C4B33" w:rsidP="005C4B33">
      <w:pPr>
        <w:rPr>
          <w:rFonts w:ascii="宋体" w:hAnsi="宋体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儿童 一次体重2.5～5mg/kg，一日2次。</w:t>
      </w:r>
    </w:p>
    <w:p w:rsidR="005C4B33" w:rsidRPr="00F66A56" w:rsidRDefault="005C4B33" w:rsidP="005C4B33">
      <w:pPr>
        <w:rPr>
          <w:rFonts w:ascii="宋体" w:hAnsi="宋体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【不良反应】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主要不良反应为腹痛、腹泻、恶心、呕吐等胃肠道反应，但发生率明显低于红霉素。偶见皮疹、皮肤瘙痒、头晕、头痛、肝功能异常(ALT及AST升高)、外周围细胞下降等。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【禁忌】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对本品、红霉素或其他大环内酯类药物过敏者禁用。 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【注意事项】</w:t>
      </w:r>
    </w:p>
    <w:p w:rsidR="005C4B33" w:rsidRPr="00F66A56" w:rsidRDefault="005C4B33" w:rsidP="005C4B33">
      <w:pPr>
        <w:rPr>
          <w:rFonts w:ascii="宋体" w:hAnsi="宋体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1、肝功能不全者慎用。严重肝硬化者的半衰期延长至正常水平2倍以上，如确实需要使用，则一次给药150mg，一日1次。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color w:val="000000" w:themeColor="text1"/>
          <w:sz w:val="18"/>
          <w:szCs w:val="18"/>
        </w:rPr>
        <w:t>2</w:t>
      </w:r>
      <w:r w:rsidRPr="00F66A56">
        <w:rPr>
          <w:rFonts w:hint="eastAsia"/>
          <w:color w:val="000000" w:themeColor="text1"/>
          <w:sz w:val="18"/>
          <w:szCs w:val="18"/>
        </w:rPr>
        <w:t>、轻度肾功能不全者不需作剂量调整，严重肾功能不全者给药时间延长一倍</w:t>
      </w:r>
      <w:r w:rsidRPr="00F66A56">
        <w:rPr>
          <w:color w:val="000000" w:themeColor="text1"/>
          <w:sz w:val="18"/>
          <w:szCs w:val="18"/>
        </w:rPr>
        <w:t>(</w:t>
      </w:r>
      <w:r w:rsidRPr="00F66A56">
        <w:rPr>
          <w:rFonts w:hint="eastAsia"/>
          <w:color w:val="000000" w:themeColor="text1"/>
          <w:sz w:val="18"/>
          <w:szCs w:val="18"/>
        </w:rPr>
        <w:t>一次给药</w:t>
      </w:r>
      <w:r w:rsidRPr="00F66A56">
        <w:rPr>
          <w:color w:val="000000" w:themeColor="text1"/>
          <w:sz w:val="18"/>
          <w:szCs w:val="18"/>
        </w:rPr>
        <w:t>150mg</w:t>
      </w:r>
      <w:r w:rsidRPr="00F66A56">
        <w:rPr>
          <w:rFonts w:hint="eastAsia"/>
          <w:color w:val="000000" w:themeColor="text1"/>
          <w:sz w:val="18"/>
          <w:szCs w:val="18"/>
        </w:rPr>
        <w:t>，一日</w:t>
      </w:r>
      <w:r w:rsidRPr="00F66A56">
        <w:rPr>
          <w:color w:val="000000" w:themeColor="text1"/>
          <w:sz w:val="18"/>
          <w:szCs w:val="18"/>
        </w:rPr>
        <w:t>1</w:t>
      </w:r>
      <w:r w:rsidRPr="00F66A56">
        <w:rPr>
          <w:rFonts w:hint="eastAsia"/>
          <w:color w:val="000000" w:themeColor="text1"/>
          <w:sz w:val="18"/>
          <w:szCs w:val="18"/>
        </w:rPr>
        <w:t>次</w:t>
      </w:r>
      <w:r w:rsidRPr="00F66A56">
        <w:rPr>
          <w:color w:val="000000" w:themeColor="text1"/>
          <w:sz w:val="18"/>
          <w:szCs w:val="18"/>
        </w:rPr>
        <w:t>)</w:t>
      </w:r>
      <w:r w:rsidRPr="00F66A56">
        <w:rPr>
          <w:rFonts w:hint="eastAsia"/>
          <w:color w:val="000000" w:themeColor="text1"/>
          <w:sz w:val="18"/>
          <w:szCs w:val="18"/>
        </w:rPr>
        <w:t>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color w:val="000000" w:themeColor="text1"/>
          <w:sz w:val="18"/>
          <w:szCs w:val="18"/>
        </w:rPr>
        <w:t>3</w:t>
      </w:r>
      <w:r w:rsidRPr="00F66A56">
        <w:rPr>
          <w:rFonts w:hint="eastAsia"/>
          <w:color w:val="000000" w:themeColor="text1"/>
          <w:sz w:val="18"/>
          <w:szCs w:val="18"/>
        </w:rPr>
        <w:t>、本品与红霉素存在交叉耐药性。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color w:val="000000" w:themeColor="text1"/>
          <w:sz w:val="18"/>
          <w:szCs w:val="18"/>
        </w:rPr>
        <w:t>4</w:t>
      </w:r>
      <w:r w:rsidRPr="00F66A56">
        <w:rPr>
          <w:rFonts w:hint="eastAsia"/>
          <w:color w:val="000000" w:themeColor="text1"/>
          <w:sz w:val="18"/>
          <w:szCs w:val="18"/>
        </w:rPr>
        <w:t>、食物对本品的吸收有影响，进食后服药会减少吸收，与牛奶同服可增加吸收。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color w:val="000000" w:themeColor="text1"/>
          <w:sz w:val="18"/>
          <w:szCs w:val="18"/>
        </w:rPr>
        <w:t>5</w:t>
      </w:r>
      <w:r w:rsidRPr="00F66A56">
        <w:rPr>
          <w:rFonts w:hint="eastAsia"/>
          <w:color w:val="000000" w:themeColor="text1"/>
          <w:sz w:val="18"/>
          <w:szCs w:val="18"/>
        </w:rPr>
        <w:t>、服用本品后可影响驾驶机械操作能力。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【孕妇及哺乳期妇女用药】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孕妇及哺乳期妇女慎用。低于0.05%的给药量排入母乳，虽然有报道对婴儿的影响不大，但仍需考虑是否中止授乳。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【儿童用药】尚不明确。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【老年用药】如老年人的药动学无明显改变，不需调整剂量。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【药物相互作用】</w:t>
      </w:r>
    </w:p>
    <w:p w:rsidR="005C4B33" w:rsidRPr="00F66A56" w:rsidRDefault="005C4B33" w:rsidP="005C4B33">
      <w:pPr>
        <w:rPr>
          <w:rFonts w:ascii="宋体" w:hAnsi="宋体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1、不可与麦角胺、二氢麦角胺、溴隐亭、特非那定、酮康唑及西沙必利配伍。 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color w:val="000000" w:themeColor="text1"/>
          <w:sz w:val="18"/>
          <w:szCs w:val="18"/>
        </w:rPr>
        <w:t>2</w:t>
      </w:r>
      <w:r w:rsidRPr="00F66A56">
        <w:rPr>
          <w:rFonts w:hint="eastAsia"/>
          <w:color w:val="000000" w:themeColor="text1"/>
          <w:sz w:val="18"/>
          <w:szCs w:val="18"/>
        </w:rPr>
        <w:t>、对氨茶碱的代谢影响小，对卡马西平、华法林、雷尼替丁及其他制酸药基本无影响。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【药物过量】尚不明确。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【药理毒理】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 本品为半合成的14元环大环内酯类抗生素。抗菌谱与抗菌作用基本上与红霉素相仿，对革兰阳性菌的</w:t>
      </w:r>
      <w:r w:rsidRPr="00F66A56">
        <w:rPr>
          <w:rFonts w:ascii="宋体" w:hAnsi="宋体" w:hint="eastAsia"/>
          <w:color w:val="000000" w:themeColor="text1"/>
          <w:sz w:val="18"/>
          <w:szCs w:val="18"/>
        </w:rPr>
        <w:lastRenderedPageBreak/>
        <w:t>作用较红霉素略差，对嗜肺军团菌的作用较红霉素强。对肺炎衣原体、肺炎支原体、溶脲脲原体的抗微生物作用与红霉素相仿或略强。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本品可透过细菌细胞膜，在接近供体(“P”位)与细菌核糖体的50S亚基成可逆性结合，阻断了转移核糖核酸(t-RNA)结合至“P”位上，同时也阻断了多肽链自受位 (“A”位)至“P”位的转移，因而细菌蛋白质合成受到抑制。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【药代动力学】</w:t>
      </w:r>
    </w:p>
    <w:p w:rsidR="005C4B33" w:rsidRPr="00F66A56" w:rsidRDefault="005C4B33" w:rsidP="005C4B33">
      <w:pPr>
        <w:rPr>
          <w:rFonts w:asciiTheme="minorHAnsi" w:eastAsiaTheme="minorEastAsia" w:hAnsiTheme="minorHAnsi" w:hint="eastAsia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 xml:space="preserve">  口服吸收好，血药峰浓度(C</w:t>
      </w:r>
      <w:r w:rsidRPr="00F66A56">
        <w:rPr>
          <w:rFonts w:ascii="宋体" w:hAnsi="宋体" w:hint="eastAsia"/>
          <w:color w:val="000000" w:themeColor="text1"/>
          <w:sz w:val="18"/>
          <w:szCs w:val="18"/>
          <w:vertAlign w:val="subscript"/>
        </w:rPr>
        <w:t>max</w:t>
      </w:r>
      <w:r w:rsidRPr="00F66A56">
        <w:rPr>
          <w:rFonts w:ascii="宋体" w:hAnsi="宋体" w:hint="eastAsia"/>
          <w:color w:val="000000" w:themeColor="text1"/>
          <w:sz w:val="18"/>
          <w:szCs w:val="18"/>
        </w:rPr>
        <w:t>)高，单剂量口服罗红霉素150mg后约2小时达血药峰浓度(</w:t>
      </w:r>
      <w:r w:rsidRPr="00F66A56">
        <w:rPr>
          <w:rFonts w:ascii="宋体" w:hAnsi="宋体" w:hint="eastAsia"/>
          <w:color w:val="000000" w:themeColor="text1"/>
          <w:sz w:val="18"/>
          <w:szCs w:val="18"/>
          <w:vertAlign w:val="subscript"/>
        </w:rPr>
        <w:t>Cmax</w:t>
      </w:r>
      <w:r w:rsidRPr="00F66A56">
        <w:rPr>
          <w:rFonts w:ascii="宋体" w:hAnsi="宋体" w:hint="eastAsia"/>
          <w:color w:val="000000" w:themeColor="text1"/>
          <w:sz w:val="18"/>
          <w:szCs w:val="18"/>
        </w:rPr>
        <w:t>)，为6.6～7.9mg/L，进食可使生物利用度下降约一半。分布广，扁桃体、鼻窦、中耳、肺、痰、前列腺及其他泌尿生殖道组织中的药物浓度均可达有效治疗水平。其蛋白结合率在血浓度2.5mg/L时为96%。以原形及5个代谢物从体内排出，7.4%自尿液排出。血消除半衰期(t</w:t>
      </w:r>
      <w:r w:rsidRPr="00F66A56">
        <w:rPr>
          <w:rFonts w:ascii="宋体" w:hAnsi="宋体" w:hint="eastAsia"/>
          <w:color w:val="000000" w:themeColor="text1"/>
          <w:sz w:val="18"/>
          <w:szCs w:val="18"/>
          <w:vertAlign w:val="subscript"/>
        </w:rPr>
        <w:t>1/2β</w:t>
      </w:r>
      <w:r w:rsidRPr="00F66A56">
        <w:rPr>
          <w:rFonts w:ascii="宋体" w:hAnsi="宋体" w:hint="eastAsia"/>
          <w:color w:val="000000" w:themeColor="text1"/>
          <w:sz w:val="18"/>
          <w:szCs w:val="18"/>
        </w:rPr>
        <w:t>)为8.4～15.5小时。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【贮藏】密封，在干燥处保存。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【包装】铝塑包装，6片/板x1板/盒；6片/板x2板/盒；6片/板x4板/盒；10片/板x1板/盒；8片/板x1板/盒。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【有效期】24个月。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【执行标准】中国药典2010年版二部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【批准文号】国药准字H20000206</w:t>
      </w:r>
    </w:p>
    <w:p w:rsidR="005C4B33" w:rsidRPr="00F66A56" w:rsidRDefault="005C4B33" w:rsidP="005C4B33">
      <w:pPr>
        <w:rPr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【生产企业】</w:t>
      </w:r>
    </w:p>
    <w:p w:rsidR="005C4B33" w:rsidRPr="00F66A56" w:rsidRDefault="005C4B33" w:rsidP="005C4B33">
      <w:pPr>
        <w:rPr>
          <w:rFonts w:ascii="宋体" w:hAnsi="宋体"/>
          <w:color w:val="000000" w:themeColor="text1"/>
          <w:sz w:val="18"/>
          <w:szCs w:val="18"/>
        </w:rPr>
      </w:pPr>
      <w:r w:rsidRPr="00F66A56">
        <w:rPr>
          <w:rFonts w:ascii="宋体" w:hAnsi="宋体" w:hint="eastAsia"/>
          <w:color w:val="000000" w:themeColor="text1"/>
          <w:sz w:val="18"/>
          <w:szCs w:val="18"/>
        </w:rPr>
        <w:t>企业名称：</w:t>
      </w:r>
      <w:hyperlink r:id="rId8" w:history="1">
        <w:r w:rsidRPr="00F66A56">
          <w:rPr>
            <w:rStyle w:val="a5"/>
            <w:rFonts w:ascii="宋体" w:hAnsi="宋体" w:hint="eastAsia"/>
            <w:color w:val="000000" w:themeColor="text1"/>
            <w:sz w:val="18"/>
            <w:szCs w:val="18"/>
            <w:u w:val="none"/>
          </w:rPr>
          <w:t>沈阳管城制药有限责任公司</w:t>
        </w:r>
      </w:hyperlink>
    </w:p>
    <w:p w:rsidR="00C5133E" w:rsidRPr="00F66A56" w:rsidRDefault="00B71DBC" w:rsidP="005C4B33">
      <w:pPr>
        <w:rPr>
          <w:color w:val="000000" w:themeColor="text1"/>
        </w:rPr>
      </w:pPr>
      <w:r w:rsidRPr="00F66A56">
        <w:rPr>
          <w:rFonts w:hint="eastAsia"/>
          <w:color w:val="000000" w:themeColor="text1"/>
        </w:rPr>
        <w:t>资料来源：药房网商城</w:t>
      </w:r>
      <w:hyperlink r:id="rId9" w:history="1">
        <w:r w:rsidRPr="00F66A56">
          <w:rPr>
            <w:rStyle w:val="a5"/>
            <w:color w:val="000000" w:themeColor="text1"/>
            <w:u w:val="none"/>
          </w:rPr>
          <w:t>http://www.yaofangwang.com/</w:t>
        </w:r>
      </w:hyperlink>
      <w:r w:rsidRPr="00F66A56">
        <w:rPr>
          <w:rFonts w:hint="eastAsia"/>
          <w:color w:val="000000" w:themeColor="text1"/>
        </w:rPr>
        <w:t>转载注明</w:t>
      </w:r>
    </w:p>
    <w:p w:rsidR="00C860DB" w:rsidRPr="00F66A56" w:rsidRDefault="00C860DB">
      <w:pPr>
        <w:rPr>
          <w:color w:val="000000" w:themeColor="text1"/>
        </w:rPr>
      </w:pPr>
    </w:p>
    <w:sectPr w:rsidR="00C860DB" w:rsidRPr="00F66A56" w:rsidSect="001A7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DCC" w:rsidRDefault="00631DCC" w:rsidP="00124244">
      <w:r>
        <w:separator/>
      </w:r>
    </w:p>
  </w:endnote>
  <w:endnote w:type="continuationSeparator" w:id="1">
    <w:p w:rsidR="00631DCC" w:rsidRDefault="00631DCC" w:rsidP="00124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DCC" w:rsidRDefault="00631DCC" w:rsidP="00124244">
      <w:r>
        <w:separator/>
      </w:r>
    </w:p>
  </w:footnote>
  <w:footnote w:type="continuationSeparator" w:id="1">
    <w:p w:rsidR="00631DCC" w:rsidRDefault="00631DCC" w:rsidP="001242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AB2"/>
    <w:multiLevelType w:val="hybridMultilevel"/>
    <w:tmpl w:val="134490DC"/>
    <w:lvl w:ilvl="0" w:tplc="B8DE98A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222B1"/>
    <w:multiLevelType w:val="hybridMultilevel"/>
    <w:tmpl w:val="30464F62"/>
    <w:lvl w:ilvl="0" w:tplc="43B847A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AF44D5"/>
    <w:multiLevelType w:val="hybridMultilevel"/>
    <w:tmpl w:val="E1D2C9CC"/>
    <w:lvl w:ilvl="0" w:tplc="655046AE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4244"/>
    <w:rsid w:val="000051B2"/>
    <w:rsid w:val="00017FD3"/>
    <w:rsid w:val="00027CD8"/>
    <w:rsid w:val="0004170B"/>
    <w:rsid w:val="00074C04"/>
    <w:rsid w:val="0009130C"/>
    <w:rsid w:val="000C6BE7"/>
    <w:rsid w:val="000D5476"/>
    <w:rsid w:val="00113E47"/>
    <w:rsid w:val="00115E9B"/>
    <w:rsid w:val="00124244"/>
    <w:rsid w:val="001252E3"/>
    <w:rsid w:val="00133890"/>
    <w:rsid w:val="00136173"/>
    <w:rsid w:val="001574CB"/>
    <w:rsid w:val="001709FE"/>
    <w:rsid w:val="001A7083"/>
    <w:rsid w:val="001E35C5"/>
    <w:rsid w:val="001E748E"/>
    <w:rsid w:val="00202971"/>
    <w:rsid w:val="002071F8"/>
    <w:rsid w:val="002317FD"/>
    <w:rsid w:val="00271722"/>
    <w:rsid w:val="002C2472"/>
    <w:rsid w:val="003022CE"/>
    <w:rsid w:val="003123B1"/>
    <w:rsid w:val="003207A1"/>
    <w:rsid w:val="00325F4C"/>
    <w:rsid w:val="0034372D"/>
    <w:rsid w:val="00360BE5"/>
    <w:rsid w:val="00370648"/>
    <w:rsid w:val="003925B0"/>
    <w:rsid w:val="003B6C73"/>
    <w:rsid w:val="003B7F09"/>
    <w:rsid w:val="003E2005"/>
    <w:rsid w:val="003F2FE0"/>
    <w:rsid w:val="003F72BC"/>
    <w:rsid w:val="00437CD5"/>
    <w:rsid w:val="0045681C"/>
    <w:rsid w:val="00471072"/>
    <w:rsid w:val="00471704"/>
    <w:rsid w:val="004828A0"/>
    <w:rsid w:val="00506C78"/>
    <w:rsid w:val="00523C70"/>
    <w:rsid w:val="005245E6"/>
    <w:rsid w:val="0053182E"/>
    <w:rsid w:val="00544E92"/>
    <w:rsid w:val="00575157"/>
    <w:rsid w:val="005B1BDF"/>
    <w:rsid w:val="005C29A7"/>
    <w:rsid w:val="005C4B33"/>
    <w:rsid w:val="005E77C9"/>
    <w:rsid w:val="00602D6D"/>
    <w:rsid w:val="00631DCC"/>
    <w:rsid w:val="006D206B"/>
    <w:rsid w:val="006F2457"/>
    <w:rsid w:val="0070326A"/>
    <w:rsid w:val="007275D1"/>
    <w:rsid w:val="0076412F"/>
    <w:rsid w:val="0078262F"/>
    <w:rsid w:val="00782707"/>
    <w:rsid w:val="007C3A37"/>
    <w:rsid w:val="007D1713"/>
    <w:rsid w:val="007E7A73"/>
    <w:rsid w:val="00824FF8"/>
    <w:rsid w:val="00833A6B"/>
    <w:rsid w:val="00837FBE"/>
    <w:rsid w:val="00881092"/>
    <w:rsid w:val="008A4931"/>
    <w:rsid w:val="008A6B78"/>
    <w:rsid w:val="008B6226"/>
    <w:rsid w:val="008D10C3"/>
    <w:rsid w:val="008F4B0E"/>
    <w:rsid w:val="008F696B"/>
    <w:rsid w:val="00917DB4"/>
    <w:rsid w:val="00926C1F"/>
    <w:rsid w:val="0097015D"/>
    <w:rsid w:val="009A70E7"/>
    <w:rsid w:val="009B4BB4"/>
    <w:rsid w:val="009B5DD4"/>
    <w:rsid w:val="009C7F1E"/>
    <w:rsid w:val="009D6288"/>
    <w:rsid w:val="009E0DDB"/>
    <w:rsid w:val="00A25171"/>
    <w:rsid w:val="00A52FB6"/>
    <w:rsid w:val="00A61BE4"/>
    <w:rsid w:val="00A8232B"/>
    <w:rsid w:val="00B06A00"/>
    <w:rsid w:val="00B06CDA"/>
    <w:rsid w:val="00B24EC0"/>
    <w:rsid w:val="00B33089"/>
    <w:rsid w:val="00B71DBC"/>
    <w:rsid w:val="00B8513A"/>
    <w:rsid w:val="00BC279E"/>
    <w:rsid w:val="00BD2772"/>
    <w:rsid w:val="00BE140E"/>
    <w:rsid w:val="00BF487A"/>
    <w:rsid w:val="00C14F64"/>
    <w:rsid w:val="00C20A4F"/>
    <w:rsid w:val="00C22851"/>
    <w:rsid w:val="00C403B3"/>
    <w:rsid w:val="00C5133E"/>
    <w:rsid w:val="00C860DB"/>
    <w:rsid w:val="00C91377"/>
    <w:rsid w:val="00C95069"/>
    <w:rsid w:val="00CB1B06"/>
    <w:rsid w:val="00CD7C98"/>
    <w:rsid w:val="00CF4923"/>
    <w:rsid w:val="00D25381"/>
    <w:rsid w:val="00D31315"/>
    <w:rsid w:val="00D62E09"/>
    <w:rsid w:val="00D7247A"/>
    <w:rsid w:val="00DE5B89"/>
    <w:rsid w:val="00E86535"/>
    <w:rsid w:val="00E974E1"/>
    <w:rsid w:val="00EA39B1"/>
    <w:rsid w:val="00EE77AB"/>
    <w:rsid w:val="00EF6290"/>
    <w:rsid w:val="00F33EE5"/>
    <w:rsid w:val="00F422B2"/>
    <w:rsid w:val="00F54D60"/>
    <w:rsid w:val="00F66A56"/>
    <w:rsid w:val="00F73DBB"/>
    <w:rsid w:val="00F762A3"/>
    <w:rsid w:val="00F827B0"/>
    <w:rsid w:val="00FA6533"/>
    <w:rsid w:val="00FC35AC"/>
    <w:rsid w:val="00FD0AC2"/>
    <w:rsid w:val="00FD4553"/>
    <w:rsid w:val="00FE13C5"/>
    <w:rsid w:val="00FE5FE2"/>
    <w:rsid w:val="00FF6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24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2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2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2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244"/>
    <w:rPr>
      <w:sz w:val="18"/>
      <w:szCs w:val="18"/>
    </w:rPr>
  </w:style>
  <w:style w:type="character" w:styleId="a5">
    <w:name w:val="Hyperlink"/>
    <w:basedOn w:val="a0"/>
    <w:uiPriority w:val="99"/>
    <w:unhideWhenUsed/>
    <w:rsid w:val="0012424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74C04"/>
    <w:pPr>
      <w:ind w:firstLineChars="200" w:firstLine="420"/>
    </w:pPr>
    <w:rPr>
      <w:rFonts w:asciiTheme="minorHAnsi" w:eastAsiaTheme="minorEastAsia" w:hAnsiTheme="minorHAnsi" w:cstheme="minorBidi"/>
    </w:rPr>
  </w:style>
  <w:style w:type="table" w:styleId="a7">
    <w:name w:val="Table Grid"/>
    <w:basedOn w:val="a1"/>
    <w:uiPriority w:val="59"/>
    <w:rsid w:val="001574C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917DB4"/>
    <w:rPr>
      <w:i/>
      <w:iCs/>
    </w:rPr>
  </w:style>
  <w:style w:type="paragraph" w:styleId="a9">
    <w:name w:val="Balloon Text"/>
    <w:basedOn w:val="a"/>
    <w:link w:val="Char1"/>
    <w:uiPriority w:val="99"/>
    <w:semiHidden/>
    <w:unhideWhenUsed/>
    <w:rsid w:val="00B71DBC"/>
    <w:rPr>
      <w:rFonts w:ascii="Times New Roman" w:hAnsi="Times New Roman"/>
      <w:kern w:val="0"/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71DBC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Heading5165pt">
    <w:name w:val="Heading #5 + 16.5 pt"/>
    <w:aliases w:val="Bold"/>
    <w:basedOn w:val="a0"/>
    <w:uiPriority w:val="99"/>
    <w:rsid w:val="00F54D60"/>
    <w:rPr>
      <w:rFonts w:ascii="宋体" w:eastAsia="宋体" w:hAnsi="宋体" w:cs="宋体" w:hint="eastAsia"/>
      <w:b/>
      <w:bCs/>
      <w:noProof/>
      <w:sz w:val="33"/>
      <w:szCs w:val="33"/>
    </w:rPr>
  </w:style>
  <w:style w:type="character" w:customStyle="1" w:styleId="Heading5">
    <w:name w:val="Heading #5"/>
    <w:basedOn w:val="a0"/>
    <w:uiPriority w:val="99"/>
    <w:rsid w:val="00F54D60"/>
    <w:rPr>
      <w:rFonts w:ascii="宋体" w:eastAsia="宋体" w:hAnsi="宋体" w:cs="宋体" w:hint="eastAsia"/>
      <w:sz w:val="31"/>
      <w:szCs w:val="31"/>
      <w:u w:val="single"/>
    </w:rPr>
  </w:style>
  <w:style w:type="character" w:customStyle="1" w:styleId="Heading5165pt1">
    <w:name w:val="Heading #5 + 16.5 pt1"/>
    <w:aliases w:val="Bold2"/>
    <w:basedOn w:val="a0"/>
    <w:uiPriority w:val="99"/>
    <w:rsid w:val="00F54D60"/>
    <w:rPr>
      <w:rFonts w:ascii="宋体" w:eastAsia="宋体" w:hAnsi="宋体" w:cs="宋体" w:hint="eastAsia"/>
      <w:b/>
      <w:bCs/>
      <w:sz w:val="33"/>
      <w:szCs w:val="33"/>
      <w:u w:val="single"/>
    </w:rPr>
  </w:style>
  <w:style w:type="character" w:customStyle="1" w:styleId="Bodytext18Arial">
    <w:name w:val="Body text (18) + Arial"/>
    <w:aliases w:val="5.5 pt,Not Bold"/>
    <w:basedOn w:val="a0"/>
    <w:uiPriority w:val="99"/>
    <w:rsid w:val="00F54D60"/>
    <w:rPr>
      <w:rFonts w:ascii="Arial" w:hAnsi="Arial" w:cs="Arial" w:hint="default"/>
      <w:spacing w:val="0"/>
      <w:sz w:val="11"/>
      <w:szCs w:val="11"/>
      <w:lang w:val="en-US" w:eastAsia="en-US"/>
    </w:rPr>
  </w:style>
  <w:style w:type="character" w:customStyle="1" w:styleId="Bodytext18">
    <w:name w:val="Body text (18) + 黑体"/>
    <w:aliases w:val="7 pt,Not Bold2"/>
    <w:basedOn w:val="a0"/>
    <w:uiPriority w:val="99"/>
    <w:rsid w:val="00F54D60"/>
    <w:rPr>
      <w:rFonts w:ascii="黑体" w:eastAsia="黑体" w:hAnsi="黑体" w:cs="黑体" w:hint="eastAsia"/>
      <w:spacing w:val="0"/>
      <w:sz w:val="14"/>
      <w:szCs w:val="14"/>
      <w:lang w:val="en-US" w:eastAsia="en-US"/>
    </w:rPr>
  </w:style>
  <w:style w:type="character" w:customStyle="1" w:styleId="Bodytext181">
    <w:name w:val="Body text (18) + 黑体1"/>
    <w:aliases w:val="6.5 pt1,Not Bold1"/>
    <w:basedOn w:val="a0"/>
    <w:uiPriority w:val="99"/>
    <w:rsid w:val="00F54D60"/>
    <w:rPr>
      <w:rFonts w:ascii="黑体" w:eastAsia="黑体" w:hAnsi="黑体" w:cs="黑体" w:hint="eastAsia"/>
      <w:spacing w:val="0"/>
      <w:sz w:val="13"/>
      <w:szCs w:val="13"/>
    </w:rPr>
  </w:style>
  <w:style w:type="character" w:customStyle="1" w:styleId="Bodytext37">
    <w:name w:val="Body text (37) + 宋体"/>
    <w:aliases w:val="6 pt,Bold1"/>
    <w:basedOn w:val="a0"/>
    <w:uiPriority w:val="99"/>
    <w:rsid w:val="00F54D60"/>
    <w:rPr>
      <w:rFonts w:ascii="宋体" w:eastAsia="宋体" w:hAnsi="宋体" w:cs="宋体" w:hint="eastAsia"/>
      <w:b/>
      <w:bCs/>
      <w:spacing w:val="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ochang.yaofangwang.com/1654/introduc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aofangwang.com/search.html?keyword=%E7%BD%97%E7%BA%A2%E9%9C%89%E7%B4%A0%E5%88%86%E6%95%A3%E7%89%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aofangwang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xixi</dc:creator>
  <cp:keywords/>
  <dc:description/>
  <cp:lastModifiedBy>xixi</cp:lastModifiedBy>
  <cp:revision>62</cp:revision>
  <dcterms:created xsi:type="dcterms:W3CDTF">2013-05-07T05:54:00Z</dcterms:created>
  <dcterms:modified xsi:type="dcterms:W3CDTF">2013-05-14T05:28:00Z</dcterms:modified>
</cp:coreProperties>
</file>