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50" w:lineRule="atLeast"/>
        <w:ind w:left="0" w:right="0" w:firstLine="480"/>
        <w:jc w:val="center"/>
        <w:rPr>
          <w:rFonts w:hint="eastAsia" w:ascii="宋体" w:hAnsi="宋体" w:eastAsia="宋体" w:cs="宋体"/>
          <w:b/>
          <w:i w:val="0"/>
          <w:caps w:val="0"/>
          <w:color w:val="000000"/>
          <w:spacing w:val="0"/>
          <w:sz w:val="30"/>
          <w:szCs w:val="30"/>
        </w:rPr>
      </w:pPr>
      <w:r>
        <w:rPr>
          <w:rFonts w:hint="eastAsia" w:ascii="宋体" w:hAnsi="宋体" w:eastAsia="宋体" w:cs="宋体"/>
          <w:b/>
          <w:i w:val="0"/>
          <w:caps w:val="0"/>
          <w:color w:val="000000"/>
          <w:spacing w:val="0"/>
          <w:sz w:val="30"/>
          <w:szCs w:val="30"/>
          <w:bdr w:val="none" w:color="auto" w:sz="0" w:space="0"/>
          <w:shd w:val="clear" w:fill="FFFFFF"/>
        </w:rPr>
        <w:t>简论金融驱动“一带一路”建设</w:t>
      </w:r>
    </w:p>
    <w:p>
      <w:pPr>
        <w:keepNext w:val="0"/>
        <w:keepLines w:val="0"/>
        <w:widowControl/>
        <w:suppressLineNumbers w:val="0"/>
        <w:jc w:val="left"/>
      </w:pPr>
      <w:r>
        <w:rPr>
          <w:rFonts w:hint="eastAsia" w:ascii="宋体" w:hAnsi="宋体" w:eastAsia="宋体" w:cs="宋体"/>
          <w:i w:val="0"/>
          <w:caps w:val="0"/>
          <w:color w:val="000000"/>
          <w:spacing w:val="0"/>
          <w:kern w:val="0"/>
          <w:sz w:val="24"/>
          <w:szCs w:val="24"/>
          <w:shd w:val="clear" w:fill="FFFFFF"/>
          <w:lang w:val="en-US" w:eastAsia="zh-CN" w:bidi="ar"/>
        </w:rPr>
        <w:t>导读：金融驱动“一带一路”建设</w:t>
      </w:r>
    </w:p>
    <w:p>
      <w:pPr>
        <w:keepNext w:val="0"/>
        <w:keepLines w:val="0"/>
        <w:widowControl/>
        <w:suppressLineNumbers w:val="0"/>
        <w:shd w:val="clear" w:fill="FFFFFF"/>
        <w:ind w:left="0" w:firstLine="480"/>
        <w:rPr>
          <w:rFonts w:hint="eastAsia" w:ascii="宋体" w:hAnsi="宋体" w:eastAsia="宋体" w:cs="宋体"/>
          <w:i w:val="0"/>
          <w:caps w:val="0"/>
          <w:color w:val="000000"/>
          <w:spacing w:val="0"/>
          <w:sz w:val="24"/>
          <w:szCs w:val="24"/>
        </w:rPr>
      </w:pPr>
      <w:r>
        <w:pict>
          <v:rect id="_x0000_i1026" o:spt="1" style="height:1.5pt;width:432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jc w:val="left"/>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drawing>
          <wp:inline distT="0" distB="0" distL="114300" distR="114300">
            <wp:extent cx="304800" cy="304800"/>
            <wp:effectExtent l="0" t="0" r="0" b="0"/>
            <wp:docPr id="2"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hint="eastAsia" w:ascii="宋体" w:hAnsi="宋体" w:eastAsia="宋体" w:cs="宋体"/>
          <w:i w:val="0"/>
          <w:caps w:val="0"/>
          <w:color w:val="000000"/>
          <w:spacing w:val="0"/>
          <w:kern w:val="0"/>
          <w:sz w:val="24"/>
          <w:szCs w:val="24"/>
          <w:shd w:val="clear" w:fill="FFFFFF"/>
          <w:lang w:val="en-US" w:eastAsia="zh-CN" w:bidi="ar"/>
        </w:rPr>
        <w:t>在 “一带一路”战略的推进过程中，有人计算，亚太区域未来10年间的基础设施投资需求将达8万亿美元。如此巨额的基金如何筹集？必须要由金融来驱动。从中国领衔筹建亚洲基础设施投资银行（亚投行）、出资400亿美元建立丝路基金开始，基金、债券、概念股、公募、保险、援助、信贷等各类金融创新方式或将成为下一步“一带一路”建设的重要驱动力。</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金融正在加码</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11月在北京APEC领导人非正式会议期间召开的“加强互联互通伙伴关系”东道主伙伴对话会上，中国宣布出资400亿美元建立丝路基金。为“一带一路”战略发展注入强心剂，提供灵活的资金保障。</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国防大学教授纪明葵近日撰文指出，丝路基金的开放性，带动了“丝绸之路经济带”建设的开放性。丝路基金是一个巨大的杠杆，可以撬动各国政府与银行等多类商业机构积极合作投资、融资。他提出，丝路基金尤其必要的是让民间资本试水，让深藏潜力的民间资本成为引导互联互通的合作的亮点。中国动用外汇储备资金为丝路基金注入资本金，就是希望能够撬动更大规模的银行融资和民间资本。</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为支持“一带一路”建设，亚投行将发挥</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"http://www.wowa.cn/scyxlw/"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市场</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化作用，支持相关项目建设。根据《筹建亚投行的政府间框架备忘录》草案，亚投行注册资本金达1000亿美元，其中中国提供500亿美元资金。</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财政部部长楼继伟日前表示，亚投行将引入PPP（公私合营）模式，亚投行和所在国政府出资，与私营部门合理分担风险和回报，动员主权财富基金、养老金以及私营部门等更多社会资本投入亚洲发展中国家的基础设施建设。</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业内人士称，亚投行将是一个政府间性质的亚洲区域多边开发机构，按照多边开发银行的模式和原则运营，重点支持基础设施建设。按照目前工作计划，预计各国在明年内完成章程谈判和签署工作，使亚投行在明年年底前投入运作。这种“银行+基金”的模式有利于提高“一带一路”投融资的有效性。</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除了丝路基金以及亚投行之外，据《中国证券报》此前披露，政府相关部门正指导筹建“海上丝绸之路银行”。正在筹建的“海上丝绸之路银行”是国内唯一代表国家进行对外投资的民营银行。自从国家提出设立丝路基金后，“海上丝绸之路银行”的注册资金拟从原来的50亿元人民币作更多追加。“海上丝绸之路”投资基金管理中心是“海上丝绸之路银行”筹建的主要参与机构。该中心计划私募1000亿元人民币投向“海上丝绸之路”沿线沿岸国家、地区、城市和</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"http://www.wowa.cn/glxlw/qygllw/"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企业</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相关项目。</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融资渠道在创新</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在“一带一路”战略提出后，不少地方政府响应“一带一路”发展战略，尝试成立其他类型基金。</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福建省福州市政府日前与国开行福建分行、中非发展基金携手合作，推动设立预计总规模100亿元人民币的基金，通过市场化运作，积极参与 “21世纪海上丝绸之路”建设，支持福州市打造国家“一带一路”战略枢纽城市。广东省倡议与国家开发银行等</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"http://www.wowa.cn/jrlw/"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金融</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机构合作设立“21世纪海上丝绸之路建设基金”。</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业内人士表示，地方版丝路基金的推出将带</w:t>
      </w:r>
      <w:r>
        <w:rPr>
          <w:rFonts w:hint="eastAsia" w:ascii="宋体" w:hAnsi="宋体" w:eastAsia="宋体" w:cs="宋体"/>
          <w:i w:val="0"/>
          <w:caps w:val="0"/>
          <w:color w:val="000000"/>
          <w:spacing w:val="0"/>
          <w:sz w:val="24"/>
          <w:szCs w:val="24"/>
          <w:shd w:val="clear" w:fill="FFFFFF"/>
        </w:rPr>
        <w:t>动更多</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"http://www.wowa.cn/shxlw/"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社会</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资本参与。基金更倾向于以一种主权投资的形式进行投资，也不排除PPP的合作方式。投资项目主要集中在海上和陆上丝绸之路沿线的国家和地区。</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专家指出，目前国内产能过剩，很多社会资金没有合适的投资领域，这些资金可以跟随国家战略参与丝路基金。另外，像保险</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"http://www.wowa.cn/glxlw/qygllw/"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企业</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、社保基金这类机构投资者，对投资回报要求不太高，适合长期投资的也可参与。</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中国出口信用保险公司（中国信保）相关负责人表示，中国信保有意向把国家出口信用保险政策和资源投向“一带一路”战略的重点合作领域，主要包括路上交通、园区建设、农业合作等。</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中国融资租赁研究院专家指导委员会委员王学东近日在接受采访时表示，围绕 “一带一路”战略，发展金融租赁，推动实体</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"http://www.wowa.cn/jjlw/"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经济</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，尤其是助力装备制造业的发展和服务企业“走出去”日益受到关注。他认为，与其他</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"http://www.wowa.cn/jrlw/"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金融</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工具相比，金融租赁集融资和融物于一体，在支持服务“一带一路”战略实施，对高端装备制造业发展、产业结构优化以及推动经济结构转型和支持中国企业“走出去”的全局战略布局中具有明显的优势。</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交银租赁有限责任公司高级副总裁马宾在11月27日举行的“2014上海航运交易论坛”上表示，航运融资租赁业应该支持中国制造走向世界，民族制造和资本应该相互推动。</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50" w:lineRule="atLeast"/>
        <w:ind w:left="0" w:right="0" w:firstLine="480"/>
        <w:jc w:val="center"/>
        <w:rPr>
          <w:rFonts w:hint="eastAsia" w:ascii="宋体" w:hAnsi="宋体" w:eastAsia="宋体" w:cs="宋体"/>
          <w:b/>
          <w:i w:val="0"/>
          <w:caps w:val="0"/>
          <w:color w:val="000000"/>
          <w:spacing w:val="0"/>
          <w:sz w:val="30"/>
          <w:szCs w:val="30"/>
        </w:rPr>
      </w:pPr>
      <w:r>
        <w:rPr>
          <w:rFonts w:hint="eastAsia" w:ascii="宋体" w:hAnsi="宋体" w:eastAsia="宋体" w:cs="宋体"/>
          <w:b/>
          <w:i w:val="0"/>
          <w:caps w:val="0"/>
          <w:color w:val="000000"/>
          <w:spacing w:val="0"/>
          <w:sz w:val="30"/>
          <w:szCs w:val="30"/>
          <w:bdr w:val="none" w:color="auto" w:sz="0" w:space="0"/>
          <w:shd w:val="clear" w:fill="FFFFFF"/>
        </w:rPr>
        <w:t>有关于近代企业与金融关系的回顾</w:t>
      </w:r>
    </w:p>
    <w:p>
      <w:pPr>
        <w:keepNext w:val="0"/>
        <w:keepLines w:val="0"/>
        <w:widowControl/>
        <w:suppressLineNumbers w:val="0"/>
        <w:jc w:val="left"/>
      </w:pPr>
      <w:r>
        <w:rPr>
          <w:rFonts w:hint="eastAsia" w:ascii="宋体" w:hAnsi="宋体" w:eastAsia="宋体" w:cs="宋体"/>
          <w:i w:val="0"/>
          <w:caps w:val="0"/>
          <w:color w:val="000000"/>
          <w:spacing w:val="0"/>
          <w:kern w:val="0"/>
          <w:sz w:val="24"/>
          <w:szCs w:val="24"/>
          <w:shd w:val="clear" w:fill="FFFFFF"/>
          <w:lang w:val="en-US" w:eastAsia="zh-CN" w:bidi="ar"/>
        </w:rPr>
        <w:t>导读：近代企业与金融关系的回顾</w:t>
      </w:r>
    </w:p>
    <w:p>
      <w:pPr>
        <w:keepNext w:val="0"/>
        <w:keepLines w:val="0"/>
        <w:widowControl/>
        <w:suppressLineNumbers w:val="0"/>
        <w:shd w:val="clear" w:fill="FFFFFF"/>
        <w:ind w:left="0" w:firstLine="480"/>
        <w:rPr>
          <w:rFonts w:hint="eastAsia" w:ascii="宋体" w:hAnsi="宋体" w:eastAsia="宋体" w:cs="宋体"/>
          <w:i w:val="0"/>
          <w:caps w:val="0"/>
          <w:color w:val="000000"/>
          <w:spacing w:val="0"/>
          <w:sz w:val="24"/>
          <w:szCs w:val="24"/>
        </w:rPr>
      </w:pPr>
      <w:r>
        <w:pict>
          <v:rect id="_x0000_i1028" o:spt="1" style="height:1.5pt;width:432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jc w:val="left"/>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drawing>
          <wp:inline distT="0" distB="0" distL="114300" distR="114300">
            <wp:extent cx="304800" cy="304800"/>
            <wp:effectExtent l="0" t="0" r="0" b="0"/>
            <wp:docPr id="3"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hint="eastAsia" w:ascii="宋体" w:hAnsi="宋体" w:eastAsia="宋体" w:cs="宋体"/>
          <w:i w:val="0"/>
          <w:caps w:val="0"/>
          <w:color w:val="000000"/>
          <w:spacing w:val="0"/>
          <w:kern w:val="0"/>
          <w:sz w:val="24"/>
          <w:szCs w:val="24"/>
          <w:shd w:val="clear" w:fill="FFFFFF"/>
          <w:lang w:val="en-US" w:eastAsia="zh-CN" w:bidi="ar"/>
        </w:rPr>
        <w:t>[摘 要] 金融发展水平制约着企业的改革与发展，两者关系密切。当前我国企业与金融的发展又具有一些特殊性，而从历史的角度考察二者的互动，有助于充分认识这种特殊性的来龙去脉，对今天的企业与金融的改革大有助益。因此，很多学者对近代以来企业与金融的互动加以研究，取得丰富成果。本文将围绕近代企业的筹融资行为，对20世纪90年代以来对近代企业与金融关系的有关研究加以回顾，以期为学者们后续的研究提供些许帮助。</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企业的发生发展从始至终都离不开资金的筹集与运作，而且这种资金有关的活动又是在一定的金融</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"http://www.wowa.cn/yslwen/hjsj/"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环境</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当中进行的。因此，要研究近代企业在中国的发展与不发展，就要对企业的资金筹集与运作加以研究，并且不能脱离近 育不成熟的特殊的金融环境。本文将围绕近代企业的筹融资行为，对上世纪90年代以来对近代企业与金融关系的有关研究加以梳理，以期为学者们后续的研究提供些许帮助。本文包括以下几个部分：近代企业与金融资本</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"http://www.wowa.cn/scyxlw/"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市场</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的宏观探讨、近代</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"http://www.wowa.cn/glxlw/qygllw/"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企业</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与银行关系的研究、近代企业与证券市场融资研究、近代典型企业个案的融资研究等。</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一、近代企业与金融资本市场的宏观探讨</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在早期工业化的过程中，企业是否得到了金融资本市场[1]的有力支持，支持的力度又如何？回答这个理由，事实上就是要界定和评价近代企业与资本市场关系。朱荫贵教授将20世纪初至抗战爆发这一时期的资本市场（即钱庄、银行和证券交易所、债券）的发展水平与企业发展水平加以总体上的对照，发现近代企业在二十世纪前三十年已经取得了很大的发展，尤其是股份公司从注册数量和注册资本都有较大的提高。而反观资本市场，钱庄的资本规模小，银行对企业放款的规模也有限，股票和债券等证券交易沦为投机和政府</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"http://www.wowa.cn/czsslw/czlw/"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财政</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工具。由此可见，相对于近代企业较快发展而言，近代资本市场支持企业的作为是有限的，由此提出了近代企业与资本市场疏离的观点，据此朱教授提出了要探讨近代企业发展背后的金融理由，就要深入研究近代中国特殊的资本市场这一论题。[2]在这样的疑问下朱教授前后发表多篇关于近代企业与资本市场关系的学术论文。对于中国近代机器大工业在与新式金融机构疏离的背景下而取得的发展，朱教授给出了一种解释，那就是民间金融资本在发挥重要作用。其考察了中国近代民间金融机构、传统</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"http://www.wowa.cn/shxlw/"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社会</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筹资习惯以及机器工业产生后民间应运而生的一些独特企业筹资方式，认为这些民间</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"http://www.wowa.cn/jrlw/"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金融</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活动部分的承担了向工业化输送资本的任务。这些民间金融机构融资、企业吸收社会储蓄和企业内部多种挖潜积累的筹融资方式，呈现出中国民间金融资本活跃的历史事实，突出了近代金融环境的特殊性。[3]朱荫贵教授还从企业的角度，运用详细史料和有关数据，对近代股份制企业在资金运转中存在的各种特殊形式加以进一步论述，以阐释企业如何适应当时的特殊的金融资本市场。说明近代企业需要向政府报效、股息分配中实行“官利制”、面向社会直接吸</w:t>
      </w:r>
      <w:r>
        <w:rPr>
          <w:rFonts w:hint="eastAsia" w:ascii="宋体" w:hAnsi="宋体" w:eastAsia="宋体" w:cs="宋体"/>
          <w:i w:val="0"/>
          <w:caps w:val="0"/>
          <w:color w:val="000000"/>
          <w:spacing w:val="0"/>
          <w:sz w:val="24"/>
          <w:szCs w:val="24"/>
          <w:shd w:val="clear" w:fill="FFFFFF"/>
        </w:rPr>
        <w:t>收储蓄和</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"http://www.wowa.cn/glxlw/qygllw/"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企业</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内部资金的调拨等企业资金运转中的本土特点，并分析了这些特点产生背后传统经济的因素。[4]朱教授还对近代中国企业融资与日本加以比较。[5]</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在评价近代企业和外部金融</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"http://www.wowa.cn/yslwen/hjsj/"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环境</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关系时，不得不讨论近代新式银行对近代企业的金融支持。对于二者关系有学者认为中国近代产业资本的发展是导致中国近代银行业发展的重要因素，因此两者之间存在着很大的必定联系，在发展趋势上有着相当的同步性。[6]“整个近代工业的发生、发展，为中国银行业的发展提供了条件，使中国银行资本得以从国家财政依附中摆脱出来并接近工业资本，在此过程中，工业资本与银行资本相辅相成，银行以信贷、资金融通作为杠杆给民族工业以相当的支持，起到过推动工业发展的历史作用；工业企业也为银行提供了存款来源，有利于银行业务的发展。”[7]相对于以上比较笼统的论述，李一翔教授运用一定的数量分析，在宏观上评价了银行对近代工业的作用，其以银行资本，包括放款额和投资额占到工业企业产业资本比重作为指标，从不同的研究角度得出一个初步的估计，认为抗战爆发前全国银行资本对工业资本形成的贡献率达到29.39%；或者用区间表示的话，位于25%-33.77%之间。由此认为银行资本在形成工业资本总额中，占的比重已经不低了。[8]李一翔教授还梳理了1927年以前中国银行业与实业之间互动的发展脉络，认为我国银行的产生并非是实业发展的产物，银行资本与产业资本两者发展未能同步，银行资本发展具有独立性，二者联系并不紧密，不过，随着时间的推移，20世纪初由于实业发展，银行资本与产业资本的关系出现转折，二者关系开始密切起来，银行为实业发展提供了大量的资金支持。中国近代银行资本的产生既离不开产业资本的发展，但又并不完全依赖于产业资本的发展，表现出一定的独立性。[9]王小宝从整个银行业和</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"http://www.wowa.cn/glxlw/gsgllwen/"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工商</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业和农业的关系加以分析，认为近代银行产生之初带有天生的投机性，这种投机性由银行难以通过内部积累达到自生以及政府公债等外部刺激带来，随着时间的推移银行与产业的互动逐步加强。[10]城山智子考察了银行与纱厂订立的借款契约，发现厂基押款和商品押款这两种“对物信用”被广泛使用，城山智子分析其理由认为一方面近代银行的风险意识已远远胜过传统钱庄，而且相信资产和商品的流动性，另一方面，地价上涨的趋势帮助银行克服了通货膨胀带来的损失。然而近代金融环境的不稳定也使银行基于“对物信用”对企业的支持没能够持续多久，1930年后受到经济萧条影响，抵押物的流动性变差，这种信用贷款不再能够为工商企业带来新的资金。[11]杜恂诚教授考察了金融业在近代中国经济中的正面作用，杜教授首先利用计量模型考察了以上海租界发电量作为主要变量对金融业在近代经济中的正面作用加以验证。之后又利用历史材料验证了外债对铁路、电力等基础产业部门的作用，金融业通过投融资行为对推动技术进步和</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"http://www.wowa.cn/glxlw/rlzygllw/"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人力</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资本的培养发挥的重要作用，以及</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"http://www.wowa.cn/jrlw/"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金融</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业大力支持支柱产业，如棉纺织业、面粉业及稍后的化学工业产生的影响。</w:t>
      </w:r>
      <w:bookmarkStart w:id="0" w:name="_GoBack"/>
      <w:bookmarkEnd w:id="0"/>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CD79CA"/>
    <w:rsid w:val="71632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2020-12-07T05:55:00Z</dcterms:created>
  <dc:creator>wuhan</dc:creator>
  <cp:lastModifiedBy>wuhan</cp:lastModifiedBy>
  <dcterms:modified xsi:type="dcterms:W3CDTF">2020-12-07T06:50:56Z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